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193692" w:rsidRDefault="0058613E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0C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93692">
        <w:rPr>
          <w:rFonts w:ascii="Times New Roman" w:hAnsi="Times New Roman" w:cs="Times New Roman"/>
          <w:b/>
          <w:sz w:val="28"/>
          <w:szCs w:val="28"/>
        </w:rPr>
        <w:t>10.02.2022 № 41</w:t>
      </w:r>
    </w:p>
    <w:p w:rsidR="00AD3BC3" w:rsidRPr="0058613E" w:rsidRDefault="00AD3BC3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4C12" w:rsidRDefault="0058613E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C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10.03.2020 № 31 «</w:t>
      </w:r>
      <w:proofErr w:type="gramStart"/>
      <w:r w:rsidR="00D100EB" w:rsidRPr="00AD3BC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D3BC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Pr="0058613E" w:rsidRDefault="00D100EB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0EB" w:rsidRPr="00D73293" w:rsidRDefault="00D100EB" w:rsidP="00D73293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Ярославской области» на 2020 – 2025 годы, 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 w:rsidR="00D73293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5F4C12" w:rsidRPr="005F4C12" w:rsidRDefault="005F4C12" w:rsidP="005F4C1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11"/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F4C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5F4C12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Pr="005F4C12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</w:p>
    <w:p w:rsidR="005F4C12" w:rsidRPr="00C92525" w:rsidRDefault="00C92525" w:rsidP="00C925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5F4C12" w:rsidRPr="00C92525">
        <w:rPr>
          <w:rFonts w:ascii="Times New Roman" w:hAnsi="Times New Roman" w:cs="Times New Roman"/>
          <w:iCs/>
          <w:sz w:val="28"/>
          <w:szCs w:val="28"/>
        </w:rPr>
        <w:t xml:space="preserve">Приложение к постановлению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10.03.2020 №31 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="005F4C12"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</w:t>
      </w:r>
      <w:proofErr w:type="gramStart"/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5F4C12"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proofErr w:type="gramEnd"/>
      <w:r w:rsidR="005F4C12"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зложить в новой редакции </w:t>
      </w:r>
      <w:r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(Прилагается)</w:t>
      </w:r>
      <w:r w:rsidR="005F4C12" w:rsidRPr="00C9252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F4C12" w:rsidRPr="00C92525" w:rsidRDefault="005F4C12" w:rsidP="00C9252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 w:rsidRPr="00C925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</w:t>
      </w:r>
      <w:r w:rsidR="00193692">
        <w:rPr>
          <w:rFonts w:ascii="Times New Roman" w:hAnsi="Times New Roman" w:cs="Times New Roman"/>
          <w:sz w:val="28"/>
          <w:szCs w:val="28"/>
        </w:rPr>
        <w:t>19.02.2021</w:t>
      </w:r>
      <w:r w:rsidRPr="00C92525">
        <w:rPr>
          <w:rFonts w:ascii="Times New Roman" w:hAnsi="Times New Roman" w:cs="Times New Roman"/>
          <w:sz w:val="28"/>
          <w:szCs w:val="28"/>
        </w:rPr>
        <w:t xml:space="preserve"> №</w:t>
      </w:r>
      <w:r w:rsidR="00193692">
        <w:rPr>
          <w:rFonts w:ascii="Times New Roman" w:hAnsi="Times New Roman" w:cs="Times New Roman"/>
          <w:sz w:val="28"/>
          <w:szCs w:val="28"/>
        </w:rPr>
        <w:t xml:space="preserve"> 42 </w:t>
      </w:r>
      <w:r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годы».</w:t>
      </w:r>
    </w:p>
    <w:p w:rsidR="005F4C12" w:rsidRPr="005F4C12" w:rsidRDefault="005F4C12" w:rsidP="00C9252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h</w:t>
      </w:r>
      <w:proofErr w:type="spellStart"/>
      <w:r>
        <w:rPr>
          <w:rStyle w:val="normaltextrun"/>
          <w:sz w:val="28"/>
          <w:szCs w:val="28"/>
          <w:lang w:val="en-US"/>
        </w:rPr>
        <w:t>tt</w:t>
      </w:r>
      <w:proofErr w:type="spellEnd"/>
      <w:r>
        <w:rPr>
          <w:rStyle w:val="normaltextrun"/>
          <w:sz w:val="28"/>
          <w:szCs w:val="28"/>
        </w:rPr>
        <w:t>p://слободское-адм.рф.</w:t>
      </w:r>
      <w:r>
        <w:rPr>
          <w:rStyle w:val="eop"/>
          <w:sz w:val="28"/>
          <w:szCs w:val="28"/>
        </w:rPr>
        <w:t> </w:t>
      </w:r>
    </w:p>
    <w:p w:rsidR="005F4C12" w:rsidRDefault="005F4C12" w:rsidP="00C9252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момента его опубликования. </w:t>
      </w:r>
    </w:p>
    <w:p w:rsidR="005F4C12" w:rsidRPr="005F4C12" w:rsidRDefault="005F4C12" w:rsidP="00C9252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00EB" w:rsidRDefault="00D100EB" w:rsidP="005F4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49" w:rsidRDefault="00D100EB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12" w:rsidRDefault="005F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556F17" w:rsidP="00D732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1D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3E1DC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E1DCD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="00D73293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bookmarkStart w:id="0" w:name="_GoBack"/>
      <w:bookmarkEnd w:id="0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C909B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C909BD" w:rsidRPr="00C90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22988,5 </w:t>
            </w:r>
            <w:proofErr w:type="spellStart"/>
            <w:r w:rsidRPr="00C909B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2409,234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A1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844,376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7329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4734,89</w:t>
            </w:r>
            <w:r w:rsidRPr="00D73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C2A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1C2A16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7329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D73293" w:rsidRPr="00D73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22988,5</w:t>
            </w:r>
            <w:r w:rsidR="00334C9C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D7329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4695,044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 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7329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5506,558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D7329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12671,018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115,84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>, Гаврилов-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екрасовском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Мышкинскоми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ограниченный доступ сельскохозяйственных товаропроизводителей к рынкам продукции и ресурсов в условиях несовершенства инфраструктуры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lastRenderedPageBreak/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19369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</w:t>
      </w:r>
      <w:proofErr w:type="gram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gramEnd"/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851"/>
        <w:gridCol w:w="850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C909BD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1321,842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1E294F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871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718D4">
              <w:rPr>
                <w:rFonts w:ascii="Times New Roman" w:eastAsia="Times New Roman" w:hAnsi="Times New Roman" w:cs="Times New Roman"/>
                <w:sz w:val="24"/>
                <w:szCs w:val="24"/>
              </w:rPr>
              <w:t>922,97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FA60D0" w:rsidRDefault="00547AB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47ABB" w:rsidRPr="00D100EB" w:rsidTr="00547ABB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C909B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871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718D4">
              <w:rPr>
                <w:rFonts w:ascii="Times New Roman" w:eastAsia="Times New Roman" w:hAnsi="Times New Roman" w:cs="Times New Roman"/>
                <w:sz w:val="24"/>
                <w:szCs w:val="24"/>
              </w:rPr>
              <w:t>545,98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C909BD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1925,452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871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718D4">
              <w:rPr>
                <w:rFonts w:ascii="Times New Roman" w:eastAsia="Times New Roman" w:hAnsi="Times New Roman" w:cs="Times New Roman"/>
                <w:sz w:val="24"/>
                <w:szCs w:val="24"/>
              </w:rPr>
              <w:t>1273,96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C90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909BD">
              <w:rPr>
                <w:rFonts w:ascii="Times New Roman" w:eastAsia="Times New Roman" w:hAnsi="Times New Roman" w:cs="Times New Roman"/>
                <w:sz w:val="24"/>
                <w:szCs w:val="24"/>
              </w:rPr>
              <w:t>56,99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C909B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4129,475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547ABB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47ABB"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871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71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C909BD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3E1DCD" w:rsidRDefault="003E1DCD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sz w:val="24"/>
                <w:szCs w:val="24"/>
              </w:rPr>
              <w:t>635,56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C909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3E1DCD" w:rsidRDefault="003E1DCD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sz w:val="24"/>
                <w:szCs w:val="24"/>
              </w:rPr>
              <w:t>377,32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D100EB" w:rsidRDefault="00C909BD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547AB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3E1DCD" w:rsidRDefault="003E1DCD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sz w:val="24"/>
                <w:szCs w:val="24"/>
              </w:rPr>
              <w:t>880,42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C909B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3E1DCD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3E1DCD" w:rsidRPr="003E1DCD">
              <w:rPr>
                <w:rFonts w:ascii="Times New Roman" w:eastAsia="Times New Roman" w:hAnsi="Times New Roman" w:cs="Times New Roman"/>
                <w:sz w:val="20"/>
              </w:rPr>
              <w:t>41,65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C909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3859,025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</w:t>
            </w:r>
            <w:r w:rsidR="00674C20" w:rsidRPr="00A16D59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3E1DCD" w:rsidRDefault="003E1DCD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1934,99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8D4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8A5D62" w:rsidRDefault="008718D4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3E1DC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1500,00</w:t>
            </w:r>
            <w:r w:rsidR="008718D4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8D4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8A5D62" w:rsidRDefault="008718D4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3E1DC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1050,00</w:t>
            </w:r>
            <w:r w:rsidR="008718D4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8D4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8A5D62" w:rsidRDefault="008718D4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3E1DC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2450,00</w:t>
            </w:r>
            <w:r w:rsidR="008718D4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8D4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8A5D62" w:rsidRDefault="008718D4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8A5D62" w:rsidRDefault="008718D4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8D4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487B9B" w:rsidRDefault="008718D4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487B9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487B9B" w:rsidRDefault="008718D4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487B9B" w:rsidRDefault="008718D4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3E1DCD" w:rsidRDefault="003E1DC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8D4" w:rsidRPr="003E1DCD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8D4" w:rsidRPr="00D100EB" w:rsidRDefault="008718D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D4" w:rsidRPr="00D100EB" w:rsidRDefault="008718D4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федерального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487B9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3E1DCD" w:rsidRDefault="003E1DCD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4734,89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D452C" w:rsidRDefault="004D452C" w:rsidP="00F84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3E1DCD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 w:rsidRPr="004D452C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487B9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4D452C" w:rsidRPr="00D100EB" w:rsidRDefault="004D452C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C909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C909BD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BD">
              <w:rPr>
                <w:rFonts w:ascii="Times New Roman" w:eastAsia="Times New Roman" w:hAnsi="Times New Roman" w:cs="Times New Roman"/>
                <w:bCs/>
                <w:sz w:val="20"/>
              </w:rPr>
              <w:t>2409,234</w:t>
            </w:r>
            <w:r w:rsidRPr="00C909B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C909BD" w:rsidRDefault="003E1DCD" w:rsidP="00DB6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BD">
              <w:rPr>
                <w:rFonts w:ascii="Times New Roman" w:eastAsia="Times New Roman" w:hAnsi="Times New Roman" w:cs="Times New Roman"/>
                <w:sz w:val="24"/>
                <w:szCs w:val="24"/>
              </w:rPr>
              <w:t>4734,89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C909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4D452C">
              <w:rPr>
                <w:rFonts w:ascii="Times New Roman" w:eastAsia="Times New Roman" w:hAnsi="Times New Roman" w:cs="Times New Roman"/>
                <w:sz w:val="20"/>
              </w:rPr>
              <w:t>000,0</w:t>
            </w:r>
            <w:r w:rsidR="004D452C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C909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4695,044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C909BD" w:rsidRDefault="00C909BD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BD">
              <w:rPr>
                <w:rFonts w:ascii="Times New Roman" w:eastAsia="Times New Roman" w:hAnsi="Times New Roman" w:cs="Times New Roman"/>
                <w:sz w:val="24"/>
                <w:szCs w:val="24"/>
              </w:rPr>
              <w:t>1558,53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C909BD" w:rsidRDefault="00C909BD" w:rsidP="00C909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2000,0</w:t>
            </w:r>
            <w:r w:rsidR="004D452C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C909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5506,558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C909BD" w:rsidRDefault="00C909BD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BD">
              <w:rPr>
                <w:rFonts w:ascii="Times New Roman" w:eastAsia="Times New Roman" w:hAnsi="Times New Roman" w:cs="Times New Roman"/>
                <w:sz w:val="24"/>
                <w:szCs w:val="24"/>
              </w:rPr>
              <w:t>923,3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C909BD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C909BD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12671,018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C909BD" w:rsidRDefault="00C909B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BD">
              <w:rPr>
                <w:rFonts w:ascii="Times New Roman" w:eastAsia="Times New Roman" w:hAnsi="Times New Roman" w:cs="Times New Roman"/>
                <w:sz w:val="24"/>
                <w:szCs w:val="24"/>
              </w:rPr>
              <w:t>2154,38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C909BD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9100,0</w:t>
            </w:r>
            <w:r w:rsidR="004D452C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895D7A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C909BD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4D452C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C909BD" w:rsidRDefault="004D452C" w:rsidP="00C90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B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C909BD" w:rsidRPr="00C909BD">
              <w:rPr>
                <w:rFonts w:ascii="Times New Roman" w:eastAsia="Times New Roman" w:hAnsi="Times New Roman" w:cs="Times New Roman"/>
                <w:sz w:val="20"/>
              </w:rPr>
              <w:t>98,64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урьяково около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д.Савино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икольскоеул.Молодежная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поворот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д.Вороново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д.Харитоново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657F05" w:rsidRDefault="00657F0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3BC5" w:rsidRDefault="00E93BC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7F05">
        <w:rPr>
          <w:rFonts w:ascii="Times New Roman" w:eastAsia="Times New Roman" w:hAnsi="Times New Roman" w:cs="Times New Roman"/>
          <w:sz w:val="24"/>
          <w:szCs w:val="24"/>
        </w:rPr>
        <w:lastRenderedPageBreak/>
        <w:t> Перечень объектов на 2022 год по мероприятию 1.1 «Обеспечение освещения улиц, содержание и ремонт объектов уличного освещения» </w:t>
      </w:r>
    </w:p>
    <w:p w:rsidR="00657F05" w:rsidRPr="00657F05" w:rsidRDefault="00657F0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FE7697" w:rsidRPr="00657F05" w:rsidTr="005E7F5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FE7697" w:rsidRPr="00657F05" w:rsidTr="005E7F5E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д.Мухино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  <w:r w:rsidR="005E7F5E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,947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ванисово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д.Ураково</w:t>
            </w:r>
            <w:proofErr w:type="spellEnd"/>
            <w:r w:rsidR="00DF26FC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  <w:r w:rsidR="00DF26FC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C" w:rsidRPr="00657F05" w:rsidRDefault="00DF26FC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256,44255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DF26FC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109,90395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DF26FC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185,7435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DF26FC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нтухово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 д.Хуторы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 w:rsidR="00DF26FC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10434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170,89527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10434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73,24083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10434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123,8329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010434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7,625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рибаново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д.Пудово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503E5A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,054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03E5A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239,35493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03E5A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102,58069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10434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173,44018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010434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10,679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 с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  <w:r w:rsidR="00010434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ул.Молодёжная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503E5A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2F99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127,79294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54,76840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03E5A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92,60026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503E5A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5,702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отопчино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д.Селиваново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  <w:r w:rsidR="00052F99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,831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256,99838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110,14216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186,22506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11,466</w:t>
            </w:r>
          </w:p>
        </w:tc>
      </w:tr>
      <w:tr w:rsidR="00FE7697" w:rsidRPr="00657F05" w:rsidTr="005E7F5E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2799,9012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052F99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1273,95505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657F05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545,98073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657F05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922,97342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657F05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56,992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657F05" w:rsidRPr="00D100EB" w:rsidTr="002F64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657F05" w:rsidRPr="00D100EB" w:rsidTr="002F64F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550D1F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в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олоторучье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ул.Сиреневая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2F64F8">
              <w:rPr>
                <w:rFonts w:ascii="Times New Roman" w:eastAsia="Times New Roman" w:hAnsi="Times New Roman" w:cs="Times New Roman"/>
                <w:sz w:val="24"/>
                <w:szCs w:val="24"/>
              </w:rPr>
              <w:t>,718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2F64F8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67,66687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2F64F8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29,00009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2F64F8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48,85144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2F64F8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3,200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550D1F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окровское ул.Лесная, ул.Центральная, кладбище,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д.Иванцево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550D1F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 в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елганово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с.Золоторучье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(кладбище),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д.Шевердино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д.Мал.Мельничное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012BD5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254,91648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109,24992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184,03009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012BD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12,05951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Default="00550D1F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 в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фремово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с.Дивная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 (кладбище),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д.Горки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ул.Городская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012BD5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282,02538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120,86802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166B53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203,60063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166B53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  <w:tr w:rsidR="00657F05" w:rsidRPr="00550D1F" w:rsidTr="002F64F8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550D1F" w:rsidRDefault="00657F05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66B5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  <w:r w:rsidR="00166B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166B53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880,41899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166B53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377,32243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166B53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635,59595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166B53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41,64943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</w:t>
      </w:r>
      <w:r w:rsidR="009D38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AA55DB">
              <w:rPr>
                <w:rFonts w:ascii="Times New Roman" w:eastAsia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53C5B" w:rsidRPr="00A77CA0" w:rsidRDefault="00D100EB" w:rsidP="00D53C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D53C5B" w:rsidRPr="00A77CA0">
        <w:rPr>
          <w:rFonts w:ascii="Times New Roman" w:eastAsia="Times New Roman" w:hAnsi="Times New Roman" w:cs="Times New Roman"/>
          <w:sz w:val="28"/>
          <w:szCs w:val="28"/>
        </w:rPr>
        <w:t>Перечень объектов на 202</w:t>
      </w:r>
      <w:r w:rsidR="00D53C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C5B" w:rsidRPr="00A77CA0">
        <w:rPr>
          <w:rFonts w:ascii="Times New Roman" w:eastAsia="Times New Roman" w:hAnsi="Times New Roman" w:cs="Times New Roman"/>
          <w:sz w:val="28"/>
          <w:szCs w:val="28"/>
        </w:rPr>
        <w:t xml:space="preserve"> год по мероприятию 1.6. Строительство и ремонт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214"/>
        <w:gridCol w:w="1253"/>
        <w:gridCol w:w="1985"/>
        <w:gridCol w:w="1842"/>
        <w:gridCol w:w="2694"/>
      </w:tblGrid>
      <w:tr w:rsidR="00D53C5B" w:rsidRPr="007A6130" w:rsidTr="00D53C5B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53C5B" w:rsidRPr="007A6130" w:rsidTr="00D53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5B" w:rsidRPr="007A6130" w:rsidRDefault="00D53C5B" w:rsidP="00D5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5B" w:rsidRPr="007A6130" w:rsidRDefault="00D53C5B" w:rsidP="00D5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C5B" w:rsidRPr="007A6130" w:rsidTr="00D53C5B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3C5B" w:rsidRPr="007A6130" w:rsidTr="00D53C5B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53C5B" w:rsidRDefault="00D53C5B" w:rsidP="00D53C5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657F05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B"/>
    <w:rsid w:val="00010434"/>
    <w:rsid w:val="00012BD5"/>
    <w:rsid w:val="00052F99"/>
    <w:rsid w:val="0009361D"/>
    <w:rsid w:val="00140C8A"/>
    <w:rsid w:val="00166B53"/>
    <w:rsid w:val="00176628"/>
    <w:rsid w:val="001904D7"/>
    <w:rsid w:val="00193692"/>
    <w:rsid w:val="001A5B49"/>
    <w:rsid w:val="001C2A16"/>
    <w:rsid w:val="001E294F"/>
    <w:rsid w:val="00216994"/>
    <w:rsid w:val="002171B7"/>
    <w:rsid w:val="002269EA"/>
    <w:rsid w:val="00254187"/>
    <w:rsid w:val="002D6C72"/>
    <w:rsid w:val="002F64F8"/>
    <w:rsid w:val="00314672"/>
    <w:rsid w:val="00321E48"/>
    <w:rsid w:val="00334C9C"/>
    <w:rsid w:val="00390974"/>
    <w:rsid w:val="00391628"/>
    <w:rsid w:val="003B0558"/>
    <w:rsid w:val="003C1E6A"/>
    <w:rsid w:val="003C67E5"/>
    <w:rsid w:val="003E1DCD"/>
    <w:rsid w:val="00417875"/>
    <w:rsid w:val="00487B9B"/>
    <w:rsid w:val="004C4DE0"/>
    <w:rsid w:val="004D4374"/>
    <w:rsid w:val="004D452C"/>
    <w:rsid w:val="00503E5A"/>
    <w:rsid w:val="0052208F"/>
    <w:rsid w:val="0052233B"/>
    <w:rsid w:val="005306B6"/>
    <w:rsid w:val="00547ABB"/>
    <w:rsid w:val="00550D1F"/>
    <w:rsid w:val="00556F17"/>
    <w:rsid w:val="0058613E"/>
    <w:rsid w:val="0059133C"/>
    <w:rsid w:val="005C5907"/>
    <w:rsid w:val="005E7F5E"/>
    <w:rsid w:val="005F308B"/>
    <w:rsid w:val="005F4C12"/>
    <w:rsid w:val="0060020E"/>
    <w:rsid w:val="00657F05"/>
    <w:rsid w:val="00672EE3"/>
    <w:rsid w:val="00674C20"/>
    <w:rsid w:val="006A17F9"/>
    <w:rsid w:val="006E0F0A"/>
    <w:rsid w:val="006E2DD8"/>
    <w:rsid w:val="007330FA"/>
    <w:rsid w:val="00780733"/>
    <w:rsid w:val="007A6130"/>
    <w:rsid w:val="007B7241"/>
    <w:rsid w:val="007C79AE"/>
    <w:rsid w:val="008718D4"/>
    <w:rsid w:val="00895D7A"/>
    <w:rsid w:val="008A5D62"/>
    <w:rsid w:val="008B30E1"/>
    <w:rsid w:val="008F6553"/>
    <w:rsid w:val="009666B9"/>
    <w:rsid w:val="009A3F6A"/>
    <w:rsid w:val="009A5058"/>
    <w:rsid w:val="009D382D"/>
    <w:rsid w:val="00A16D59"/>
    <w:rsid w:val="00A77CA0"/>
    <w:rsid w:val="00A8430B"/>
    <w:rsid w:val="00AA55DB"/>
    <w:rsid w:val="00AD3BC3"/>
    <w:rsid w:val="00B04B31"/>
    <w:rsid w:val="00B14564"/>
    <w:rsid w:val="00B4332B"/>
    <w:rsid w:val="00BE35BF"/>
    <w:rsid w:val="00C909BD"/>
    <w:rsid w:val="00C92525"/>
    <w:rsid w:val="00CA76B6"/>
    <w:rsid w:val="00D100EB"/>
    <w:rsid w:val="00D32D72"/>
    <w:rsid w:val="00D4747B"/>
    <w:rsid w:val="00D51CE3"/>
    <w:rsid w:val="00D52992"/>
    <w:rsid w:val="00D53C5B"/>
    <w:rsid w:val="00D66E3F"/>
    <w:rsid w:val="00D73293"/>
    <w:rsid w:val="00DA7CE1"/>
    <w:rsid w:val="00DB65B8"/>
    <w:rsid w:val="00DE4231"/>
    <w:rsid w:val="00DF26FC"/>
    <w:rsid w:val="00E22D21"/>
    <w:rsid w:val="00E478CF"/>
    <w:rsid w:val="00E93BC5"/>
    <w:rsid w:val="00EB7AC3"/>
    <w:rsid w:val="00EF5FBE"/>
    <w:rsid w:val="00F26157"/>
    <w:rsid w:val="00F84A44"/>
    <w:rsid w:val="00FA60D0"/>
    <w:rsid w:val="00FE5110"/>
    <w:rsid w:val="00F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997E-CBA9-4B4C-9FC3-E288538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2022-02-13T10:22:00Z</cp:lastPrinted>
  <dcterms:created xsi:type="dcterms:W3CDTF">2022-02-15T05:57:00Z</dcterms:created>
  <dcterms:modified xsi:type="dcterms:W3CDTF">2022-02-15T05:57:00Z</dcterms:modified>
</cp:coreProperties>
</file>